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56B" w:rsidRPr="000C20BF" w:rsidRDefault="0098756B" w:rsidP="0098756B">
      <w:pPr>
        <w:rPr>
          <w:rFonts w:ascii="Palatino Linotype" w:hAnsi="Palatino Linotype" w:cs="Arial"/>
          <w:i/>
          <w:sz w:val="22"/>
          <w:szCs w:val="22"/>
          <w:u w:val="single"/>
        </w:rPr>
      </w:pPr>
      <w:r w:rsidRPr="000C20BF">
        <w:rPr>
          <w:rFonts w:ascii="Palatino Linotype" w:hAnsi="Palatino Linotype" w:cs="Arial"/>
          <w:i/>
          <w:sz w:val="22"/>
          <w:szCs w:val="22"/>
          <w:u w:val="single"/>
        </w:rPr>
        <w:t>""BASES ESPECÍFICAS QUE HAN DE REGIR EN EL PROCEDIMIENTO DE PROVISIÓN DE PUESTOS NO SINGULARIZADOS POR CONCURSO DE TRASLADO DE 17 PUESTOS DE GESTOR ADMINISTRATIVO EN LA EXCELENTÍSIMA DIPUTACIÓN PROVINCIAL DE ALICANTE</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BASES GENERALES</w:t>
      </w:r>
    </w:p>
    <w:p w:rsidR="0098756B" w:rsidRPr="000C20BF" w:rsidRDefault="0098756B" w:rsidP="0098756B">
      <w:pPr>
        <w:rPr>
          <w:rFonts w:ascii="Palatino Linotype" w:hAnsi="Palatino Linotype" w:cs="Arial"/>
          <w:b/>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Las bases generales por la que se regirán las convocatorias de concursos de traslados de puestos no singularizados, serán las aprobadas por Acuerdo de la Junta de Gobierno adoptado en sesión ordinaria celebrada en fecha 25 de octubre de 2017 y publicadas en el B.O.P. de Alicante de fecha 8 de noviembre de 2017, número 213.</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BASES ESPECÍFICAS</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1.-CARÁCTER DE LA CONVOCATORIA</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La presente convocatoria tiene carácter extraordinario y tiene lugar con motivo de la celebración de las pruebas selectivas convocadas por Acuerdo de la Junta de fecha 15 de marzo de 2017 para la selección de 3 Auxiliares Administrativos (interinos).</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Una vez finalizado dicho proceso selectivo y previo a la adjudicación de los destinos de los funcionarios que han superado el mismo, en los términos de lo establecido en el Base Segunda de las Generales que han de regir los procedimientos para la provisión de los puestos no singularizados, procede convocar los destinos vacantes, en la categoría de gestor administrativo, y ofertarlos a los funcionarios de carrera de esta Diputación que por razones de movilidad estén interesados en los mismos, con anterioridad la toma de posesión de los funcionarios interinos.</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2.-DESCRIPCIÓN DE LOS PUESTOS</w:t>
      </w:r>
    </w:p>
    <w:p w:rsidR="0098756B" w:rsidRPr="000C20BF" w:rsidRDefault="0098756B" w:rsidP="0098756B">
      <w:pPr>
        <w:rPr>
          <w:rFonts w:ascii="Palatino Linotype" w:hAnsi="Palatino Linotype" w:cs="Arial"/>
          <w:b/>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Es objeto de la presente convocatoria la provisión de 17 puestos de GESTOR ADMINISTRATIVO por el sistema de concurso de traslado de puestos no singularizados.</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Los puestos de Gestor Administrativo, objeto de la presente convocatoria y que están vacantes en sus destinos actuales, se corresponden con los siguientes códigos de RPT:</w:t>
      </w:r>
    </w:p>
    <w:p w:rsidR="0098756B" w:rsidRPr="000C20BF" w:rsidRDefault="0098756B" w:rsidP="0098756B">
      <w:pPr>
        <w:rPr>
          <w:rFonts w:ascii="Palatino Linotype" w:hAnsi="Palatino Linotype" w:cs="Arial"/>
          <w:i/>
          <w:sz w:val="22"/>
          <w:szCs w:val="22"/>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134"/>
        <w:gridCol w:w="4111"/>
        <w:gridCol w:w="3543"/>
      </w:tblGrid>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Nº</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CÓD. RPT</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DESTINO</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INCORPORACIÓN</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21.150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DR. ESQUERDO</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1/10/2018</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2</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15.050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CONTRATACIÓN</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3</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51.065</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CULTURA</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4</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57.055</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PLANES Y OBRAS MUNICIPALES</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5</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14.035</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RÉGIMEN INTERIOR</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6</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12.050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SERVICIOS JURÍDICOS</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1/10/2018</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7</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12.050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SERVICIOS JURÍDICOS</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1/10/2018</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8</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41.046</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ASISTENCIA A MUNICIPIOS (COCENTAINA)</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1/10/2018</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lastRenderedPageBreak/>
              <w:t>9</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19.120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ARQUITECTURA</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10</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59.100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CARRETERAS</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11</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9.080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INTERVENCIÓN</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12</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41.046</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ASISTENCIA A MUNICIPIOS (COCENTAINA)</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13</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55.030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DEPORTES</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14</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3.040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SECRETARÍA GENERAL</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15</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25.215</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RR.HH. (PREVENCIÓN)</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16</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49.035</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BIENESTAR SOCIAL</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r w:rsidR="0098756B" w:rsidRPr="000B1362" w:rsidTr="00C91E81">
        <w:tc>
          <w:tcPr>
            <w:tcW w:w="675"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17</w:t>
            </w:r>
          </w:p>
        </w:tc>
        <w:tc>
          <w:tcPr>
            <w:tcW w:w="1134"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61.070</w:t>
            </w:r>
          </w:p>
        </w:tc>
        <w:tc>
          <w:tcPr>
            <w:tcW w:w="4111"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MEDIO AMBIENTE</w:t>
            </w:r>
          </w:p>
        </w:tc>
        <w:tc>
          <w:tcPr>
            <w:tcW w:w="3543" w:type="dxa"/>
            <w:shd w:val="clear" w:color="auto" w:fill="auto"/>
          </w:tcPr>
          <w:p w:rsidR="0098756B" w:rsidRPr="000B1362" w:rsidRDefault="0098756B" w:rsidP="00C91E81">
            <w:pPr>
              <w:rPr>
                <w:rFonts w:ascii="Palatino Linotype" w:eastAsia="Calibri" w:hAnsi="Palatino Linotype" w:cs="Arial"/>
                <w:i/>
                <w:sz w:val="22"/>
                <w:szCs w:val="22"/>
              </w:rPr>
            </w:pPr>
            <w:r w:rsidRPr="000B1362">
              <w:rPr>
                <w:rFonts w:ascii="Palatino Linotype" w:eastAsia="Calibri" w:hAnsi="Palatino Linotype" w:cs="Arial"/>
                <w:i/>
                <w:sz w:val="22"/>
                <w:szCs w:val="22"/>
              </w:rPr>
              <w:t>RESOLUCIÓN CONCURSO</w:t>
            </w:r>
          </w:p>
        </w:tc>
      </w:tr>
    </w:tbl>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3.-REQUISITOS DE LOS ASPIRANTES</w:t>
      </w:r>
    </w:p>
    <w:p w:rsidR="0098756B" w:rsidRPr="000C20BF" w:rsidRDefault="0098756B" w:rsidP="0098756B">
      <w:pPr>
        <w:rPr>
          <w:rFonts w:ascii="Palatino Linotype" w:hAnsi="Palatino Linotype" w:cs="Arial"/>
          <w:b/>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2.1).-GENERALES</w:t>
      </w:r>
    </w:p>
    <w:p w:rsidR="0098756B" w:rsidRPr="00373AD7" w:rsidRDefault="0098756B" w:rsidP="0098756B">
      <w:pPr>
        <w:rPr>
          <w:rFonts w:ascii="Palatino Linotype" w:hAnsi="Palatino Linotype" w:cs="Arial"/>
          <w:i/>
          <w:sz w:val="14"/>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Los establecidos en la Base Tercera de las Generales que han de regir en los procedimientos para la provisión de puestos no singularizados por el sistema de concursos de traslados (BOP 8/11/2017).</w:t>
      </w:r>
    </w:p>
    <w:p w:rsidR="0098756B" w:rsidRPr="00373AD7" w:rsidRDefault="0098756B" w:rsidP="0098756B">
      <w:pPr>
        <w:rPr>
          <w:rFonts w:ascii="Palatino Linotype" w:hAnsi="Palatino Linotype" w:cs="Arial"/>
          <w:i/>
          <w:sz w:val="16"/>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2.2).-ESPECÍFICAS</w:t>
      </w:r>
    </w:p>
    <w:p w:rsidR="0098756B" w:rsidRPr="00373AD7" w:rsidRDefault="0098756B" w:rsidP="0098756B">
      <w:pPr>
        <w:rPr>
          <w:rFonts w:ascii="Palatino Linotype" w:hAnsi="Palatino Linotype" w:cs="Arial"/>
          <w:i/>
          <w:sz w:val="14"/>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Para poder participar en esta convocatoria, los concursantes deberán reunir, además de los requisitos generales, estar ocupando como funcionario de carrera de esta Diputación, puesto de Gestor Administrativo.</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4.-PRESENTACIÓN DE SOLICITUDES</w:t>
      </w:r>
    </w:p>
    <w:p w:rsidR="0098756B" w:rsidRPr="00373AD7" w:rsidRDefault="0098756B" w:rsidP="0098756B">
      <w:pPr>
        <w:rPr>
          <w:rFonts w:ascii="Palatino Linotype" w:hAnsi="Palatino Linotype" w:cs="Arial"/>
          <w:i/>
          <w:sz w:val="14"/>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De acuerdo con la Base Quinta de las generales, quienes deseen tomar parte en la presente convocatoria de concurso de traslado lo solicitaran conforme al modelo de instancia que figura en el Anexo I y que se podrá descargar en la intranet de la Diputación y a través de la página web de la misma (</w:t>
      </w:r>
      <w:hyperlink r:id="rId4" w:history="1">
        <w:r w:rsidRPr="000C20BF">
          <w:rPr>
            <w:rStyle w:val="Hipervnculo"/>
            <w:rFonts w:ascii="Palatino Linotype" w:hAnsi="Palatino Linotype" w:cs="Arial"/>
            <w:i/>
            <w:sz w:val="22"/>
            <w:szCs w:val="22"/>
          </w:rPr>
          <w:t>http://www.diputacionalicante.es/</w:t>
        </w:r>
      </w:hyperlink>
      <w:r w:rsidRPr="000C20BF">
        <w:rPr>
          <w:rFonts w:ascii="Palatino Linotype" w:hAnsi="Palatino Linotype" w:cs="Arial"/>
          <w:i/>
          <w:sz w:val="22"/>
          <w:szCs w:val="22"/>
        </w:rPr>
        <w:t xml:space="preserve">). </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La solicitud de participación en la convocatoria se presentará, en los términos de la disposición transitoria tercera de las bases generales, en cualquiera de los medios previstos en el artículo 16 de la Ley 39/2015, de 1 de octubre, del Procedimiento Administrativo Común de las Administraciones Públicas, dentro del plazo de 15 días hábiles a contar a partir del día siguiente al de la publicación de la convocatoria en el Tablón Oficial de edictos de esta Diputación. Por tanto, se admite tanto su presentación telemática como presencialmente en formato papel.</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Los interesados deberán indicar claramente en su instancia la prelación o preferencia de los destinos a los que opta.</w:t>
      </w:r>
    </w:p>
    <w:p w:rsidR="0098756B" w:rsidRPr="00373AD7" w:rsidRDefault="0098756B" w:rsidP="0098756B">
      <w:pPr>
        <w:rPr>
          <w:rFonts w:ascii="Palatino Linotype" w:hAnsi="Palatino Linotype" w:cs="Arial"/>
          <w:i/>
          <w:sz w:val="16"/>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5.-RELACIÓN DE ADMITIDOS</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u w:val="single"/>
        </w:rPr>
      </w:pPr>
      <w:r w:rsidRPr="000C20BF">
        <w:rPr>
          <w:rFonts w:ascii="Palatino Linotype" w:hAnsi="Palatino Linotype" w:cs="Arial"/>
          <w:i/>
          <w:sz w:val="22"/>
          <w:szCs w:val="22"/>
        </w:rPr>
        <w:t xml:space="preserve">Expirado el plazo de presentación de instancias, el órgano competente dictará Resolución, en el plazo máximo de un mes, declarando aprobada la lista provisional de aspirantes admitidos y excluidos, que se publicará en la intranet y en el Tablón Oficial de edictos de esta Diputación. Contra esta Resolución se podrá presentar escrito de subsanación y/o reclamación en el plazo de </w:t>
      </w:r>
      <w:r w:rsidRPr="000C20BF">
        <w:rPr>
          <w:rFonts w:ascii="Palatino Linotype" w:hAnsi="Palatino Linotype" w:cs="Arial"/>
          <w:i/>
          <w:sz w:val="22"/>
          <w:szCs w:val="22"/>
        </w:rPr>
        <w:lastRenderedPageBreak/>
        <w:t>10 días hábiles, contados a partir del día siguiente de su publicación en el citado Tablón Oficial (</w:t>
      </w:r>
      <w:hyperlink r:id="rId5" w:history="1">
        <w:r w:rsidRPr="000C20BF">
          <w:rPr>
            <w:rStyle w:val="Hipervnculo"/>
            <w:rFonts w:ascii="Palatino Linotype" w:hAnsi="Palatino Linotype" w:cs="Arial"/>
            <w:i/>
            <w:sz w:val="22"/>
            <w:szCs w:val="22"/>
          </w:rPr>
          <w:t>http://sede.diputacionalicante.es/inicio/tablon-de-anuncios/</w:t>
        </w:r>
      </w:hyperlink>
      <w:r w:rsidRPr="000C20BF">
        <w:rPr>
          <w:rFonts w:ascii="Palatino Linotype" w:hAnsi="Palatino Linotype" w:cs="Arial"/>
          <w:i/>
          <w:sz w:val="22"/>
          <w:szCs w:val="22"/>
          <w:u w:val="single"/>
        </w:rPr>
        <w:t>).</w:t>
      </w:r>
    </w:p>
    <w:p w:rsidR="0098756B" w:rsidRPr="000C20BF" w:rsidRDefault="0098756B" w:rsidP="0098756B">
      <w:pPr>
        <w:rPr>
          <w:rFonts w:ascii="Palatino Linotype" w:hAnsi="Palatino Linotype" w:cs="Arial"/>
          <w:i/>
          <w:sz w:val="22"/>
          <w:szCs w:val="22"/>
          <w:u w:val="single"/>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Si se presentase escrito de subsanación y/o reclamación, se resolverá en la Resolución por la que se apruebe la lista definitiva, que se publicará tanto en la intranet como en el citado Tablón Oficial. En caso de que no se presente escrito de subsanación y/o reclamación alguna, la lista provisional de aspirantes admitidos y excluidos quedará elevada automáticamente a definitiva.</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6.-CRITERIOS DE ADSCRIPCIÓN</w:t>
      </w:r>
    </w:p>
    <w:p w:rsidR="0098756B" w:rsidRPr="00373AD7" w:rsidRDefault="0098756B" w:rsidP="0098756B">
      <w:pPr>
        <w:rPr>
          <w:rFonts w:ascii="Palatino Linotype" w:hAnsi="Palatino Linotype" w:cs="Arial"/>
          <w:i/>
          <w:sz w:val="18"/>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Se estará a lo dispuesto en la base sexta de las generales por la que se regirán las convocatorias de concursos de traslados de puestos no singularizados (BOP 8/11/2017).</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 xml:space="preserve">7.-PUBLICIDAD DEL RESULTADO </w:t>
      </w:r>
    </w:p>
    <w:p w:rsidR="0098756B" w:rsidRPr="00373AD7" w:rsidRDefault="0098756B" w:rsidP="0098756B">
      <w:pPr>
        <w:rPr>
          <w:rFonts w:ascii="Palatino Linotype" w:hAnsi="Palatino Linotype" w:cs="Arial"/>
          <w:i/>
          <w:sz w:val="16"/>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La Comisión Técnica de Valoración se constituirá y funcionará de acuerdo con lo establecido en la base séptima de las generales por la que se regirán las convocatorias de concursos de traslados de puestos no singularizados (BOP 8/11/2017).</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La comisión Técnica de Valoración publicará el resultado de la aplicación de los criterios de adscripción, en el Tablón Oficial de Edictos (</w:t>
      </w:r>
      <w:hyperlink r:id="rId6" w:history="1">
        <w:r w:rsidRPr="000C20BF">
          <w:rPr>
            <w:rStyle w:val="Hipervnculo"/>
            <w:rFonts w:ascii="Palatino Linotype" w:hAnsi="Palatino Linotype" w:cs="Arial"/>
            <w:i/>
            <w:sz w:val="22"/>
            <w:szCs w:val="22"/>
          </w:rPr>
          <w:t>http://sede.diputacionalicante.es/inicio/tablon-de-anuncios/</w:t>
        </w:r>
      </w:hyperlink>
      <w:r w:rsidRPr="000C20BF">
        <w:rPr>
          <w:rFonts w:ascii="Palatino Linotype" w:hAnsi="Palatino Linotype" w:cs="Arial"/>
          <w:i/>
          <w:sz w:val="22"/>
          <w:szCs w:val="22"/>
        </w:rPr>
        <w:t>) y en la Intranet de la Diputación, pudiendo los aspirantes que lo deseen presentar alegaciones en el plazo de diez días, a contar a partir de su publicación en el citado Tablón Oficial.</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Finalizado este plazo, la comisión Técnica de Valoración resolverá en su caso las alegaciones presentadas; tras lo cual, y de conformidad con los citados criterios, elevará, al órgano competente la propuesta de adscripción en los puestos objeto de la convocatoria, que tendrá carácter vinculante. La Comisión Técnica de Valoración deberá elevar dicha propuesta de adjudicación en el plazo de diez días, a contar desde la conclusión del plazo de alegaciones.</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8.-RESOLUCIÓN</w:t>
      </w:r>
    </w:p>
    <w:p w:rsidR="0098756B" w:rsidRPr="00373AD7" w:rsidRDefault="0098756B" w:rsidP="0098756B">
      <w:pPr>
        <w:rPr>
          <w:rFonts w:ascii="Palatino Linotype" w:hAnsi="Palatino Linotype" w:cs="Arial"/>
          <w:i/>
          <w:sz w:val="16"/>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El órgano competente, recibida la propuesta vinculante de la Comisión Técnica de Valoración, dictará resolución definitiva en el plazo de 1 mes desde tal recepción.</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Contra dicha resolución los interesados podrán interponer, en su caso, con carácter potestativo, recurso de reposición, en el plazo de un mes, ante el órgano que ha dictado la resolución objeto de recurso, o bien, interponer directamente en el plazo de dos meses ante el Juzgado de lo Contencioso Administrativo de Alicante o bien a su elección, el de la circunscripción de su domicilio si lo tuviera fuera de Alicante.</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En ambos casos, el plazo de interposición del recurso contará a partir del día siguiente al de la publicación de la resolución recurrida en el Tablón Oficial de Edictos de la Corporación (</w:t>
      </w:r>
      <w:hyperlink r:id="rId7" w:history="1">
        <w:r w:rsidRPr="000C20BF">
          <w:rPr>
            <w:rStyle w:val="Hipervnculo"/>
            <w:rFonts w:ascii="Palatino Linotype" w:hAnsi="Palatino Linotype" w:cs="Arial"/>
            <w:i/>
            <w:sz w:val="22"/>
            <w:szCs w:val="22"/>
          </w:rPr>
          <w:t>http://sede.diputacionalicante.es/inicio/tablon-de-anuncios/</w:t>
        </w:r>
      </w:hyperlink>
      <w:r w:rsidRPr="000C20BF">
        <w:rPr>
          <w:rFonts w:ascii="Palatino Linotype" w:hAnsi="Palatino Linotype" w:cs="Arial"/>
          <w:i/>
          <w:sz w:val="22"/>
          <w:szCs w:val="22"/>
        </w:rPr>
        <w:t>) y finalizará el mismo día en que se produjo la publicación (artículo 30 de la Ley 39/2015, de 1 de octubre, del Procedimiento Administrativo Común de las Administraciones Públicas.</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lastRenderedPageBreak/>
        <w:t>9.-APLICACIÓN SUPLETORIA</w:t>
      </w:r>
    </w:p>
    <w:p w:rsidR="0098756B" w:rsidRPr="000C20BF" w:rsidRDefault="0098756B" w:rsidP="0098756B">
      <w:pPr>
        <w:rPr>
          <w:rFonts w:ascii="Palatino Linotype" w:hAnsi="Palatino Linotype" w:cs="Arial"/>
          <w:b/>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En todo lo demás se estará a los especificado en las Bases Generales que han de regir los procedimientos para la provisión de los puestos no singularizados mediante el sistema de concurso de traslado, por cuanto las presentes bases específicas se dictan en ejecución de aquellas (BOP 8/11/2017).</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10.-IMPUGNACIÓN</w:t>
      </w:r>
    </w:p>
    <w:p w:rsidR="0098756B" w:rsidRPr="00373AD7"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i/>
          <w:sz w:val="22"/>
          <w:szCs w:val="22"/>
        </w:rPr>
      </w:pPr>
      <w:r w:rsidRPr="000C20BF">
        <w:rPr>
          <w:rFonts w:ascii="Palatino Linotype" w:hAnsi="Palatino Linotype" w:cs="Arial"/>
          <w:i/>
          <w:sz w:val="22"/>
          <w:szCs w:val="22"/>
        </w:rPr>
        <w:t>Contra la presente convocatoria y sus bases específicas se podrá interponer por las interesados legitimados, recurso potestativo de reposición ante la Junta de Gobierno de la Diputación de Alicante, en el plazo de un mes a contar a partir del día siguiente al de la publicación de estas bases en el Tablón Oficial de Edictos de la Corporación (</w:t>
      </w:r>
      <w:hyperlink r:id="rId8" w:history="1">
        <w:r w:rsidRPr="000C20BF">
          <w:rPr>
            <w:rStyle w:val="Hipervnculo"/>
            <w:rFonts w:ascii="Palatino Linotype" w:hAnsi="Palatino Linotype" w:cs="Arial"/>
            <w:i/>
            <w:sz w:val="22"/>
            <w:szCs w:val="22"/>
          </w:rPr>
          <w:t>http://sede.diputacionalicante.es/inicio/tablon-de-anuncios/</w:t>
        </w:r>
      </w:hyperlink>
      <w:r w:rsidRPr="000C20BF">
        <w:rPr>
          <w:rFonts w:ascii="Palatino Linotype" w:hAnsi="Palatino Linotype" w:cs="Arial"/>
          <w:i/>
          <w:sz w:val="22"/>
          <w:szCs w:val="22"/>
          <w:u w:val="single"/>
        </w:rPr>
        <w:t>)</w:t>
      </w:r>
      <w:r w:rsidRPr="000C20BF">
        <w:rPr>
          <w:rFonts w:ascii="Palatino Linotype" w:hAnsi="Palatino Linotype" w:cs="Arial"/>
          <w:i/>
          <w:sz w:val="22"/>
          <w:szCs w:val="22"/>
        </w:rPr>
        <w:t>, o bien interponer directamente Recurso Contencioso-Administrativo ante el Juzgado de este Orden de Alicante o bien a su elección, el de la circunscripción de su domicilio si lo tuviera fuera de Alicante, en el plazo de dos meses a contar igualmente a partir del día siguiente al de la publicación de estas bases en el citado Tablón Oficial.</w:t>
      </w:r>
    </w:p>
    <w:p w:rsidR="0098756B" w:rsidRPr="000C20BF" w:rsidRDefault="0098756B" w:rsidP="0098756B">
      <w:pPr>
        <w:rPr>
          <w:rFonts w:ascii="Palatino Linotype" w:hAnsi="Palatino Linotype" w:cs="Arial"/>
          <w:i/>
          <w:sz w:val="22"/>
          <w:szCs w:val="22"/>
        </w:rPr>
      </w:pPr>
    </w:p>
    <w:p w:rsidR="0098756B" w:rsidRPr="000C20BF" w:rsidRDefault="0098756B" w:rsidP="0098756B">
      <w:pPr>
        <w:rPr>
          <w:rFonts w:ascii="Palatino Linotype" w:hAnsi="Palatino Linotype" w:cs="Arial"/>
          <w:sz w:val="22"/>
          <w:szCs w:val="22"/>
        </w:rPr>
      </w:pPr>
      <w:r w:rsidRPr="000C20BF">
        <w:rPr>
          <w:rFonts w:ascii="Palatino Linotype" w:hAnsi="Palatino Linotype" w:cs="Arial"/>
          <w:i/>
          <w:sz w:val="22"/>
          <w:szCs w:val="22"/>
        </w:rPr>
        <w:t>En ambos casos, el plazo de interposición del recurso de que se trata, concluirá el mismo día en que se produjo la publicación (artículo 30 de la Ley 39/2015, de 1 de octubre, del Procedimiento Administrativo Común de las Administraciones Públicas.</w:t>
      </w:r>
      <w:r>
        <w:rPr>
          <w:rFonts w:ascii="Palatino Linotype" w:hAnsi="Palatino Linotype" w:cs="Arial"/>
          <w:i/>
          <w:sz w:val="22"/>
          <w:szCs w:val="22"/>
        </w:rPr>
        <w:t>""</w:t>
      </w:r>
    </w:p>
    <w:p w:rsidR="007518AE" w:rsidRDefault="007518AE">
      <w:bookmarkStart w:id="0" w:name="_GoBack"/>
      <w:bookmarkEnd w:id="0"/>
    </w:p>
    <w:sectPr w:rsidR="007518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CB"/>
    <w:rsid w:val="007518AE"/>
    <w:rsid w:val="0098756B"/>
    <w:rsid w:val="00C34E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E0115-8BFF-4D5A-9F80-430A5FCC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56B"/>
    <w:pPr>
      <w:suppressAutoHyphens/>
      <w:spacing w:after="0" w:line="240" w:lineRule="auto"/>
      <w:jc w:val="both"/>
    </w:pPr>
    <w:rPr>
      <w:rFonts w:ascii="Courier New" w:eastAsia="Times New Roman" w:hAnsi="Courier New" w:cs="Times New Roman"/>
      <w:kern w:val="1"/>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875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e.diputacionalicante.es/inicio/tablon-de-anuncios/" TargetMode="External"/><Relationship Id="rId3" Type="http://schemas.openxmlformats.org/officeDocument/2006/relationships/webSettings" Target="webSettings.xml"/><Relationship Id="rId7" Type="http://schemas.openxmlformats.org/officeDocument/2006/relationships/hyperlink" Target="http://sede.diputacionalicante.es/inicio/tablon-de-anunci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e.diputacionalicante.es/inicio/tablon-de-anuncios/" TargetMode="External"/><Relationship Id="rId5" Type="http://schemas.openxmlformats.org/officeDocument/2006/relationships/hyperlink" Target="http://sede.diputacionalicante.es/inicio/tablon-de-anuncios/" TargetMode="External"/><Relationship Id="rId10" Type="http://schemas.openxmlformats.org/officeDocument/2006/relationships/theme" Target="theme/theme1.xml"/><Relationship Id="rId4" Type="http://schemas.openxmlformats.org/officeDocument/2006/relationships/hyperlink" Target="http://www.diputacionalicante.e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1407</Words>
  <Characters>7741</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CEJUELA GARCIA, ALEJANDRO DAVID</dc:creator>
  <cp:keywords/>
  <dc:description/>
  <cp:lastModifiedBy>CEJUELA GARCIA, ALEJANDRO DAVID</cp:lastModifiedBy>
  <cp:revision>2</cp:revision>
  <dcterms:created xsi:type="dcterms:W3CDTF">2018-03-14T11:59:00Z</dcterms:created>
  <dcterms:modified xsi:type="dcterms:W3CDTF">2018-03-14T11:59:00Z</dcterms:modified>
</cp:coreProperties>
</file>